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>10/7/2023</w:t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Για εργαζόμενους που ανήκουν σε ομάδες υψηλού κινδύνου και ειδικά στις περιπτώσεις έκθεσής τους σε επιβαρυντικές συνθήκες, συστήνεται, όπου αυτό είναι εφικτό από τη φύση της εργασίας,  η δυνατότητα εξ αποστάσεως εργασία μέσω τηλεργασίας (Πίνακας 1).</w:t>
      </w:r>
    </w:p>
    <w:p>
      <w:pPr>
        <w:pStyle w:val="Normal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tbl>
      <w:tblPr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7"/>
        <w:gridCol w:w="1868"/>
        <w:gridCol w:w="2496"/>
        <w:gridCol w:w="2693"/>
      </w:tblGrid>
      <w:tr>
        <w:trPr/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Πίνακας 1.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Παράγοντες που προδιαθέτουν σε θερμικές ασθένειες/βλάβες λόγω παρατεταμένης εργασιακής έκθεσης.</w:t>
            </w:r>
          </w:p>
        </w:tc>
      </w:tr>
      <w:tr>
        <w:trPr/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Ατομικοί παράγοντες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Παράγοντες περιβάλλοντος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Παράγοντες υγείας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Φάρμακα και ουσίες</w:t>
            </w:r>
          </w:p>
        </w:tc>
      </w:tr>
      <w:tr>
        <w:trPr/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Έλλειψη εγκλιματισμού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Μέτριο ή χαμηλό επίπεδο φυσικής κατάστασης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Υψηλός δείκτης μάζας σώματος* (άνω του 30)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Αφυδάτωση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Ηλικία &gt;60 έτη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Εγκυμοσύνη, γαλουχία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Υψηλή θερμοκρασία αέρα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Υψηλή υγρασία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Εντατική σωματική εργασία / άσκηση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Μειωμένη ταχύτητα αέρα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Βαριά / μη διαπερατά ρούχα και προστατευτικός εξοπλισμός εργασίας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Καρδιαγγειακές παθήσεις, διαταραχές αρτηριακής πίεσης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Χρόνιες αναπνευστικές παθήσεις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Σακχαρώδης διαβήτης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Νεφροπάθειες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Χρόνιες ηπατοπάθειες</w:t>
            </w:r>
          </w:p>
          <w:tbl>
            <w:tblPr>
              <w:tblW w:w="2302" w:type="dxa"/>
              <w:jc w:val="left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firstRow="1" w:noVBand="1" w:lastRow="0" w:firstColumn="1" w:lastColumn="0" w:noHBand="0" w:val="04a0"/>
            </w:tblPr>
            <w:tblGrid>
              <w:gridCol w:w="2302"/>
            </w:tblGrid>
            <w:tr>
              <w:trPr/>
              <w:tc>
                <w:tcPr>
                  <w:tcW w:w="230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Νοσήματα του κεντρικού νευρικού συστήματος-ψυχικά νοσήματα</w:t>
                  </w:r>
                </w:p>
              </w:tc>
            </w:tr>
            <w:tr>
              <w:trPr/>
              <w:tc>
                <w:tcPr>
                  <w:tcW w:w="230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Αιμοσφαιρινοπάθειες (δρεπανοκυτταρική αναιμία) </w:t>
                  </w:r>
                </w:p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Οξεία νόσος, όπως λοίμωξη με πυρετό ή γαστρεντερίτιδα 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cs="Arial" w:ascii="Arial" w:hAnsi="Arial"/>
                <w:sz w:val="24"/>
                <w:szCs w:val="24"/>
                <w:lang w:val="tr-TR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Καρδιολογικά και αντιϋπερτασικά φάρμακα:  (διουρητικά,    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νιτρώδη αγγειοδιασταλτικά και αναστολείς διαύλων ιόντων Ca++,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Β-αναστολείς)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Ορμόνες (συμπεριλαμβανομένης της ινσουλίνης)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Αντιδιαβητικά δισκία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Αντιεπιληπτικά,  αντιψυχωσικά και νευροληπτικά φάρμακα, τρικυκλικά αντικαταθλιπτικά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Αντισταμινικά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Αντιχολινεργικές ουσίες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Εργογονικά διεγερτικά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Αλκοόλ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*ΔΜΣ=βάρος/ύψος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 xml:space="preserve"> (</w:t>
      </w:r>
      <w:r>
        <w:rPr>
          <w:rFonts w:cs="Arial" w:ascii="Arial" w:hAnsi="Arial"/>
          <w:sz w:val="24"/>
          <w:szCs w:val="24"/>
          <w:lang w:val="en-US"/>
        </w:rPr>
        <w:t>Kg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  <w:lang w:val="en-US"/>
        </w:rPr>
        <w:t>m</w:t>
      </w:r>
      <w:r>
        <w:rPr>
          <w:rFonts w:cs="Arial" w:ascii="Arial" w:hAnsi="Arial"/>
          <w:sz w:val="24"/>
          <w:szCs w:val="24"/>
          <w:vertAlign w:val="superscript"/>
        </w:rPr>
        <w:t>2</w:t>
      </w:r>
      <w:r>
        <w:rPr>
          <w:rFonts w:cs="Arial" w:ascii="Arial" w:hAnsi="Arial"/>
          <w:sz w:val="24"/>
          <w:szCs w:val="24"/>
        </w:rPr>
        <w:t>)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40" w:right="1440" w:gutter="0" w:header="0" w:top="1440" w:footer="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tabs>
        <w:tab w:val="clear" w:pos="8306"/>
        <w:tab w:val="center" w:pos="4153" w:leader="none"/>
      </w:tabs>
      <w:ind w:left="-567" w:right="-1759" w:hanging="0"/>
      <w:rPr>
        <w:lang w:val="en-GB" w:eastAsia="en-GB"/>
      </w:rPr>
    </w:pPr>
    <w:r>
      <w:rPr>
        <w:lang w:val="en-GB" w:eastAsia="en-GB"/>
      </w:rP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-982980</wp:posOffset>
          </wp:positionH>
          <wp:positionV relativeFrom="paragraph">
            <wp:posOffset>22860</wp:posOffset>
          </wp:positionV>
          <wp:extent cx="7844155" cy="1310640"/>
          <wp:effectExtent l="0" t="0" r="0" b="0"/>
          <wp:wrapSquare wrapText="bothSides"/>
          <wp:docPr id="1" name="Εικόνα 3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 descr="Εικόνα που περιέχει κείμενο, γραμματοσειρ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4155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2"/>
      <w:tabs>
        <w:tab w:val="clear" w:pos="8306"/>
        <w:tab w:val="center" w:pos="4153" w:leader="none"/>
      </w:tabs>
      <w:ind w:left="-567" w:right="-1759" w:hanging="0"/>
      <w:rPr/>
    </w:pPr>
    <w:r>
      <w:rPr/>
    </w:r>
  </w:p>
  <w:p>
    <w:pPr>
      <w:pStyle w:val="Style22"/>
      <w:tabs>
        <w:tab w:val="clear" w:pos="8306"/>
        <w:tab w:val="center" w:pos="4153" w:leader="none"/>
      </w:tabs>
      <w:ind w:left="-426" w:right="-1759" w:firstLine="426"/>
      <w:rPr/>
    </w:pPr>
    <w:r>
      <w:rPr/>
    </w:r>
  </w:p>
  <w:p>
    <w:pPr>
      <w:pStyle w:val="Style22"/>
      <w:tabs>
        <w:tab w:val="clear" w:pos="8306"/>
        <w:tab w:val="center" w:pos="4153" w:leader="none"/>
      </w:tabs>
      <w:ind w:left="-426" w:right="-1759" w:firstLine="4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903640"/>
    <w:rPr/>
  </w:style>
  <w:style w:type="character" w:styleId="FooterChar" w:customStyle="1">
    <w:name w:val="Footer Char"/>
    <w:basedOn w:val="DefaultParagraphFont"/>
    <w:uiPriority w:val="99"/>
    <w:qFormat/>
    <w:rsid w:val="00903640"/>
    <w:rPr/>
  </w:style>
  <w:style w:type="character" w:styleId="1" w:customStyle="1">
    <w:name w:val="Προεπιλεγμένη γραμματοσειρά1"/>
    <w:qFormat/>
    <w:rsid w:val="005f5be7"/>
    <w:rPr/>
  </w:style>
  <w:style w:type="character" w:styleId="Style14">
    <w:name w:val="Hyperlink"/>
    <w:basedOn w:val="DefaultParagraphFont"/>
    <w:rsid w:val="005f5be7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0c3fb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939fa"/>
    <w:rPr>
      <w:b/>
      <w:bCs/>
    </w:rPr>
  </w:style>
  <w:style w:type="character" w:styleId="NoSpacingChar" w:customStyle="1">
    <w:name w:val="No Spacing Char"/>
    <w:link w:val="NoSpacing"/>
    <w:uiPriority w:val="1"/>
    <w:qFormat/>
    <w:rsid w:val="006939fa"/>
    <w:rPr>
      <w:rFonts w:ascii="Segoe UI" w:hAnsi="Segoe UI" w:eastAsia="Calibri" w:cs="Times New Roman"/>
      <w:lang w:val="tr-TR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link w:val="Header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f5be7"/>
    <w:pPr>
      <w:spacing w:lineRule="auto" w:line="300" w:before="0" w:after="0"/>
      <w:ind w:left="720" w:hanging="0"/>
      <w:jc w:val="both"/>
    </w:pPr>
    <w:rPr>
      <w:rFonts w:ascii="Arial" w:hAnsi="Arial"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6939fa"/>
    <w:pPr>
      <w:widowControl/>
      <w:bidi w:val="0"/>
      <w:spacing w:lineRule="auto" w:line="240" w:before="0" w:after="0"/>
      <w:jc w:val="left"/>
    </w:pPr>
    <w:rPr>
      <w:rFonts w:ascii="Segoe UI" w:hAnsi="Segoe UI" w:eastAsia="Calibri" w:cs="Times New Roman" w:eastAsiaTheme="minorHAnsi"/>
      <w:color w:val="auto"/>
      <w:kern w:val="0"/>
      <w:sz w:val="22"/>
      <w:szCs w:val="22"/>
      <w:lang w:val="tr-TR" w:eastAsia="en-US" w:bidi="ar-SA"/>
    </w:rPr>
  </w:style>
  <w:style w:type="paragraph" w:styleId="Default" w:customStyle="1">
    <w:name w:val="Default"/>
    <w:qFormat/>
    <w:rsid w:val="006939f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el-GR" w:val="el-G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B149-BB3B-4665-AE8F-4CCBDE85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2</Pages>
  <Words>165</Words>
  <Characters>1268</Characters>
  <CharactersWithSpaces>1415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2023-07-10T11:10:00Z</dcterms:created>
  <dc:creator>Βασίλης</dc:creator>
  <dc:description/>
  <dc:language>el-GR</dc:language>
  <cp:lastModifiedBy/>
  <cp:lastPrinted>2023-07-04T14:17:00Z</cp:lastPrinted>
  <dcterms:modified xsi:type="dcterms:W3CDTF">2023-07-10T17:26:07Z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