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 </w:t>
      </w:r>
      <w:r>
        <w:rPr/>
        <w:drawing>
          <wp:inline distT="0" distB="0" distL="19050" distR="9525">
            <wp:extent cx="676275" cy="647700"/>
            <wp:effectExtent l="0" t="0" r="0" b="0"/>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2"/>
                    <a:stretch>
                      <a:fillRect/>
                    </a:stretch>
                  </pic:blipFill>
                  <pic:spPr bwMode="auto">
                    <a:xfrm>
                      <a:off x="0" y="0"/>
                      <a:ext cx="676275" cy="647700"/>
                    </a:xfrm>
                    <a:prstGeom prst="rect">
                      <a:avLst/>
                    </a:prstGeom>
                  </pic:spPr>
                </pic:pic>
              </a:graphicData>
            </a:graphic>
          </wp:inline>
        </w:drawing>
      </w:r>
    </w:p>
    <w:tbl>
      <w:tblPr>
        <w:tblW w:w="9722" w:type="dxa"/>
        <w:jc w:val="left"/>
        <w:tblInd w:w="1" w:type="dxa"/>
        <w:tblCellMar>
          <w:top w:w="0" w:type="dxa"/>
          <w:left w:w="70" w:type="dxa"/>
          <w:bottom w:w="0" w:type="dxa"/>
          <w:right w:w="70" w:type="dxa"/>
        </w:tblCellMar>
        <w:tblLook w:val="0000"/>
      </w:tblPr>
      <w:tblGrid>
        <w:gridCol w:w="4587"/>
        <w:gridCol w:w="5134"/>
      </w:tblGrid>
      <w:tr>
        <w:trPr>
          <w:trHeight w:val="2685" w:hRule="atLeast"/>
        </w:trPr>
        <w:tc>
          <w:tcPr>
            <w:tcW w:w="4587" w:type="dxa"/>
            <w:tcBorders/>
            <w:shd w:fill="auto" w:val="clear"/>
          </w:tcPr>
          <w:p>
            <w:pPr>
              <w:pStyle w:val="Normal"/>
              <w:spacing w:before="0" w:after="0"/>
              <w:jc w:val="both"/>
              <w:rPr>
                <w:rFonts w:ascii="Times New Roman" w:hAnsi="Times New Roman" w:cs="Times New Roman"/>
                <w:b/>
                <w:b/>
              </w:rPr>
            </w:pPr>
            <w:r>
              <w:rPr>
                <w:rFonts w:cs="Times New Roman" w:ascii="Times New Roman" w:hAnsi="Times New Roman"/>
                <w:b/>
              </w:rPr>
              <w:t>ΕΛΛΗΝΙΚΗ ΔΗΜΟΚΡΑΤΙΑ</w:t>
            </w:r>
          </w:p>
          <w:p>
            <w:pPr>
              <w:pStyle w:val="Normal"/>
              <w:spacing w:before="0" w:after="0"/>
              <w:rPr>
                <w:rFonts w:ascii="Times New Roman" w:hAnsi="Times New Roman" w:cs="Times New Roman"/>
                <w:b/>
                <w:b/>
              </w:rPr>
            </w:pPr>
            <w:r>
              <w:rPr>
                <w:rFonts w:cs="Times New Roman" w:ascii="Times New Roman" w:hAnsi="Times New Roman"/>
                <w:b/>
              </w:rPr>
              <w:t>ΥΠΟΥΡΓΕΙΟ ΕΡΓΑΣΙΑΣ</w:t>
            </w:r>
          </w:p>
          <w:p>
            <w:pPr>
              <w:pStyle w:val="Normal"/>
              <w:spacing w:before="0" w:after="0"/>
              <w:rPr>
                <w:rFonts w:ascii="Times New Roman" w:hAnsi="Times New Roman" w:cs="Times New Roman"/>
                <w:b/>
                <w:b/>
              </w:rPr>
            </w:pPr>
            <w:r>
              <w:rPr>
                <w:rFonts w:cs="Times New Roman" w:ascii="Times New Roman" w:hAnsi="Times New Roman"/>
                <w:b/>
              </w:rPr>
              <w:t>ΚΑΙ ΚΟΙΝΩΝΙΚΩΝ ΥΠΟΘΕΣΕΩΝ</w:t>
            </w:r>
          </w:p>
          <w:p>
            <w:pPr>
              <w:pStyle w:val="Normal"/>
              <w:spacing w:before="0" w:after="0"/>
              <w:jc w:val="both"/>
              <w:rPr>
                <w:rFonts w:ascii="Times New Roman" w:hAnsi="Times New Roman" w:cs="Times New Roman"/>
                <w:b/>
                <w:b/>
              </w:rPr>
            </w:pPr>
            <w:r>
              <w:rPr>
                <w:rFonts w:cs="Times New Roman" w:ascii="Times New Roman" w:hAnsi="Times New Roman"/>
                <w:b/>
              </w:rPr>
              <w:t>ΓΕΝΙΚΗ ΓΡΑΜΜΑΤΕΙΑ ΚΟΙΝΩΝΙΚΩΝ ΑΣΦΑΛΙΣΕΩΝ</w:t>
            </w:r>
          </w:p>
          <w:p>
            <w:pPr>
              <w:pStyle w:val="Normal"/>
              <w:spacing w:before="0" w:after="0"/>
              <w:jc w:val="both"/>
              <w:rPr>
                <w:rFonts w:ascii="Times New Roman" w:hAnsi="Times New Roman" w:cs="Times New Roman"/>
                <w:b/>
                <w:b/>
              </w:rPr>
            </w:pPr>
            <w:r>
              <w:rPr>
                <w:rFonts w:cs="Times New Roman" w:ascii="Times New Roman" w:hAnsi="Times New Roman"/>
                <w:b/>
              </w:rPr>
              <w:t>ΓΕΝ. Δ/ΝΣΗ ΟΙΚΟΝΟΜΙΚΩΝ ΥΠΗΡΕΣΙΩΝ</w:t>
            </w:r>
          </w:p>
          <w:p>
            <w:pPr>
              <w:pStyle w:val="Normal"/>
              <w:spacing w:before="0" w:after="0"/>
              <w:jc w:val="both"/>
              <w:rPr>
                <w:rFonts w:ascii="Times New Roman" w:hAnsi="Times New Roman" w:cs="Times New Roman"/>
                <w:lang w:val="fr-CA"/>
              </w:rPr>
            </w:pPr>
            <w:r>
              <w:rPr>
                <w:rFonts w:cs="Times New Roman" w:ascii="Times New Roman" w:hAnsi="Times New Roman"/>
                <w:lang w:val="fr-CA"/>
              </w:rPr>
              <w:t>Ταχ. Δ/νση: Σταδίου 29</w:t>
            </w:r>
          </w:p>
          <w:p>
            <w:pPr>
              <w:pStyle w:val="Normal"/>
              <w:spacing w:before="0" w:after="0"/>
              <w:jc w:val="both"/>
              <w:rPr>
                <w:rFonts w:ascii="Times New Roman" w:hAnsi="Times New Roman" w:cs="Times New Roman"/>
              </w:rPr>
            </w:pPr>
            <w:r>
              <w:rPr>
                <w:rFonts w:cs="Times New Roman" w:ascii="Times New Roman" w:hAnsi="Times New Roman"/>
                <w:lang w:val="fr-CA"/>
              </w:rPr>
              <w:t>Τ.Κ.: 105 59,</w:t>
            </w:r>
          </w:p>
          <w:p>
            <w:pPr>
              <w:pStyle w:val="Normal"/>
              <w:spacing w:before="0" w:after="0"/>
              <w:jc w:val="both"/>
              <w:rPr>
                <w:rFonts w:ascii="Times New Roman" w:hAnsi="Times New Roman" w:cs="Times New Roman"/>
                <w:lang w:val="fr-CA"/>
              </w:rPr>
            </w:pPr>
            <w:r>
              <w:rPr>
                <w:rFonts w:cs="Times New Roman" w:ascii="Times New Roman" w:hAnsi="Times New Roman"/>
                <w:lang w:val="fr-CA"/>
              </w:rPr>
              <w:t xml:space="preserve">Πληροφορίες : </w:t>
              <w:tab/>
              <w:tab/>
            </w:r>
          </w:p>
          <w:p>
            <w:pPr>
              <w:pStyle w:val="Normal"/>
              <w:spacing w:before="0" w:after="0"/>
              <w:jc w:val="both"/>
              <w:rPr>
                <w:rFonts w:ascii="Times New Roman" w:hAnsi="Times New Roman" w:cs="Times New Roman"/>
                <w:lang w:val="fr-CA"/>
              </w:rPr>
            </w:pPr>
            <w:r>
              <w:rPr>
                <w:rFonts w:cs="Times New Roman" w:ascii="Times New Roman" w:hAnsi="Times New Roman"/>
                <w:lang w:val="fr-CA"/>
              </w:rPr>
              <w:t xml:space="preserve">Τηλ /Fax: </w:t>
              <w:tab/>
              <w:tab/>
            </w:r>
          </w:p>
          <w:p>
            <w:pPr>
              <w:pStyle w:val="Normal"/>
              <w:spacing w:before="0" w:after="0"/>
              <w:jc w:val="both"/>
              <w:rPr>
                <w:rFonts w:ascii="Times New Roman" w:hAnsi="Times New Roman" w:cs="Times New Roman"/>
                <w:lang w:val="fr-CA"/>
              </w:rPr>
            </w:pPr>
            <w:r>
              <w:rPr>
                <w:rFonts w:cs="Times New Roman" w:ascii="Times New Roman" w:hAnsi="Times New Roman"/>
                <w:lang w:val="fr-CA"/>
              </w:rPr>
              <w:t>Ηλ. Ταχυδρομείο:</w:t>
              <w:tab/>
            </w:r>
          </w:p>
          <w:p>
            <w:pPr>
              <w:pStyle w:val="Normal"/>
              <w:spacing w:before="0" w:after="0"/>
              <w:jc w:val="both"/>
              <w:rPr>
                <w:rFonts w:ascii="Times New Roman" w:hAnsi="Times New Roman" w:cs="Times New Roman"/>
                <w:lang w:val="fr-CA"/>
              </w:rPr>
            </w:pPr>
            <w:r>
              <w:rPr>
                <w:rFonts w:cs="Times New Roman" w:ascii="Times New Roman" w:hAnsi="Times New Roman"/>
                <w:lang w:val="fr-CA"/>
              </w:rPr>
            </w:r>
          </w:p>
          <w:p>
            <w:pPr>
              <w:pStyle w:val="Normal"/>
              <w:spacing w:before="0" w:after="0"/>
              <w:jc w:val="center"/>
              <w:rPr>
                <w:rFonts w:ascii="Times New Roman" w:hAnsi="Times New Roman" w:cs="Times New Roman"/>
                <w:b/>
                <w:b/>
              </w:rPr>
            </w:pPr>
            <w:r>
              <w:rPr>
                <w:rFonts w:cs="Times New Roman" w:ascii="Times New Roman" w:hAnsi="Times New Roman"/>
                <w:b/>
              </w:rPr>
              <w:t xml:space="preserve">                                                   </w:t>
            </w:r>
          </w:p>
        </w:tc>
        <w:tc>
          <w:tcPr>
            <w:tcW w:w="5134" w:type="dxa"/>
            <w:tcBorders/>
            <w:shd w:fill="auto" w:val="clear"/>
          </w:tcPr>
          <w:p>
            <w:pPr>
              <w:pStyle w:val="Normal"/>
              <w:spacing w:before="0" w:after="0"/>
              <w:ind w:left="362" w:hanging="0"/>
              <w:jc w:val="both"/>
              <w:rPr>
                <w:rFonts w:ascii="Times New Roman" w:hAnsi="Times New Roman" w:cs="Times New Roman"/>
                <w:bCs/>
              </w:rPr>
            </w:pPr>
            <w:r>
              <w:rPr>
                <w:rFonts w:cs="Times New Roman" w:ascii="Times New Roman" w:hAnsi="Times New Roman"/>
                <w:b/>
                <w:bCs/>
              </w:rPr>
              <w:t>Αθήνα</w:t>
            </w:r>
            <w:r>
              <w:rPr>
                <w:rFonts w:cs="Times New Roman" w:ascii="Times New Roman" w:hAnsi="Times New Roman"/>
                <w:bCs/>
              </w:rPr>
              <w:t xml:space="preserve">, </w:t>
            </w:r>
          </w:p>
          <w:p>
            <w:pPr>
              <w:pStyle w:val="Normal"/>
              <w:spacing w:before="0" w:after="0"/>
              <w:ind w:left="362" w:hanging="0"/>
              <w:jc w:val="both"/>
              <w:rPr>
                <w:rFonts w:ascii="Times New Roman" w:hAnsi="Times New Roman" w:cs="Times New Roman"/>
                <w:b/>
                <w:b/>
                <w:bCs/>
              </w:rPr>
            </w:pPr>
            <w:r>
              <w:rPr>
                <w:rFonts w:cs="Times New Roman" w:ascii="Times New Roman" w:hAnsi="Times New Roman"/>
                <w:b/>
                <w:bCs/>
              </w:rPr>
              <w:t>Αριθμ. Πρωτ</w:t>
            </w:r>
            <w:r>
              <w:rPr>
                <w:rFonts w:cs="Times New Roman" w:ascii="Times New Roman" w:hAnsi="Times New Roman"/>
                <w:bCs/>
              </w:rPr>
              <w:t xml:space="preserve">.: </w:t>
            </w:r>
          </w:p>
          <w:p>
            <w:pPr>
              <w:pStyle w:val="Normal"/>
              <w:spacing w:before="0" w:after="0"/>
              <w:ind w:left="362" w:hanging="0"/>
              <w:jc w:val="both"/>
              <w:rPr>
                <w:rFonts w:ascii="Times New Roman" w:hAnsi="Times New Roman" w:cs="Times New Roman"/>
                <w:b/>
                <w:b/>
                <w:bCs/>
              </w:rPr>
            </w:pPr>
            <w:r>
              <w:rPr>
                <w:rFonts w:cs="Times New Roman" w:ascii="Times New Roman" w:hAnsi="Times New Roman"/>
                <w:b/>
                <w:bCs/>
              </w:rPr>
            </w:r>
          </w:p>
          <w:p>
            <w:pPr>
              <w:pStyle w:val="Normal"/>
              <w:spacing w:before="0" w:after="0"/>
              <w:ind w:left="362" w:hanging="0"/>
              <w:jc w:val="both"/>
              <w:rPr>
                <w:rFonts w:ascii="Times New Roman" w:hAnsi="Times New Roman" w:cs="Times New Roman"/>
                <w:b/>
                <w:b/>
                <w:bCs/>
              </w:rPr>
            </w:pPr>
            <w:r>
              <w:rPr>
                <w:rFonts w:cs="Times New Roman" w:ascii="Times New Roman" w:hAnsi="Times New Roman"/>
                <w:b/>
                <w:bCs/>
              </w:rPr>
            </w:r>
          </w:p>
          <w:p>
            <w:pPr>
              <w:pStyle w:val="Normal"/>
              <w:spacing w:before="0" w:after="0"/>
              <w:ind w:left="362" w:hanging="0"/>
              <w:jc w:val="both"/>
              <w:rPr>
                <w:rFonts w:ascii="Times New Roman" w:hAnsi="Times New Roman" w:cs="Times New Roman"/>
                <w:b/>
                <w:b/>
                <w:bCs/>
              </w:rPr>
            </w:pPr>
            <w:r>
              <w:rPr>
                <w:rFonts w:cs="Times New Roman" w:ascii="Times New Roman" w:hAnsi="Times New Roman"/>
                <w:b/>
                <w:bCs/>
              </w:rPr>
            </w:r>
          </w:p>
          <w:p>
            <w:pPr>
              <w:pStyle w:val="Normal"/>
              <w:spacing w:before="0" w:after="0"/>
              <w:ind w:left="362" w:hanging="0"/>
              <w:jc w:val="both"/>
              <w:rPr>
                <w:rFonts w:ascii="Times New Roman" w:hAnsi="Times New Roman" w:cs="Times New Roman"/>
                <w:b/>
                <w:b/>
                <w:bCs/>
              </w:rPr>
            </w:pPr>
            <w:r>
              <w:rPr>
                <w:rFonts w:cs="Times New Roman" w:ascii="Times New Roman" w:hAnsi="Times New Roman"/>
                <w:b/>
                <w:bCs/>
              </w:rPr>
              <w:t xml:space="preserve">       </w:t>
            </w:r>
            <w:r>
              <w:rPr>
                <w:rFonts w:cs="Times New Roman" w:ascii="Times New Roman" w:hAnsi="Times New Roman"/>
                <w:b/>
                <w:bCs/>
              </w:rPr>
              <w:t xml:space="preserve">Προς: ΕΘΝΙΚΟ ΤΥΠΟΓΡΑΦΕΙΟ         </w:t>
            </w:r>
          </w:p>
          <w:p>
            <w:pPr>
              <w:pStyle w:val="Normal"/>
              <w:spacing w:before="0" w:after="0"/>
              <w:ind w:left="362" w:hanging="0"/>
              <w:jc w:val="both"/>
              <w:rPr>
                <w:rFonts w:ascii="Times New Roman" w:hAnsi="Times New Roman" w:cs="Times New Roman"/>
                <w:b/>
                <w:b/>
                <w:bCs/>
              </w:rPr>
            </w:pPr>
            <w:r>
              <w:rPr>
                <w:rFonts w:cs="Times New Roman" w:ascii="Times New Roman" w:hAnsi="Times New Roman"/>
                <w:b/>
                <w:bCs/>
              </w:rPr>
              <w:t xml:space="preserve">                 </w:t>
            </w:r>
          </w:p>
          <w:p>
            <w:pPr>
              <w:pStyle w:val="Normal"/>
              <w:spacing w:before="0" w:after="0"/>
              <w:ind w:left="362" w:hanging="0"/>
              <w:jc w:val="both"/>
              <w:rPr>
                <w:rFonts w:ascii="Times New Roman" w:hAnsi="Times New Roman" w:cs="Times New Roman"/>
                <w:b/>
                <w:b/>
                <w:bCs/>
              </w:rPr>
            </w:pPr>
            <w:r>
              <w:rPr>
                <w:rFonts w:cs="Times New Roman" w:ascii="Times New Roman" w:hAnsi="Times New Roman"/>
                <w:b/>
                <w:bCs/>
              </w:rPr>
              <w:t xml:space="preserve"> </w:t>
            </w:r>
          </w:p>
          <w:p>
            <w:pPr>
              <w:pStyle w:val="Normal"/>
              <w:spacing w:before="0" w:after="0"/>
              <w:ind w:left="362" w:hanging="0"/>
              <w:jc w:val="both"/>
              <w:rPr>
                <w:rFonts w:ascii="Times New Roman" w:hAnsi="Times New Roman" w:cs="Times New Roman"/>
                <w:b/>
                <w:b/>
                <w:bCs/>
              </w:rPr>
            </w:pPr>
            <w:r>
              <w:rPr>
                <w:rFonts w:cs="Times New Roman" w:ascii="Times New Roman" w:hAnsi="Times New Roman"/>
                <w:b/>
                <w:bCs/>
              </w:rPr>
            </w:r>
          </w:p>
          <w:p>
            <w:pPr>
              <w:pStyle w:val="Normal"/>
              <w:spacing w:before="0" w:after="0"/>
              <w:ind w:left="362" w:hanging="0"/>
              <w:jc w:val="both"/>
              <w:rPr>
                <w:rFonts w:ascii="Times New Roman" w:hAnsi="Times New Roman" w:cs="Times New Roman"/>
                <w:b/>
                <w:b/>
                <w:bCs/>
              </w:rPr>
            </w:pPr>
            <w:r>
              <w:rPr>
                <w:rFonts w:cs="Times New Roman" w:ascii="Times New Roman" w:hAnsi="Times New Roman"/>
                <w:b/>
                <w:bCs/>
              </w:rPr>
              <w:t xml:space="preserve">             </w:t>
            </w:r>
          </w:p>
        </w:tc>
      </w:tr>
    </w:tbl>
    <w:p>
      <w:pPr>
        <w:pStyle w:val="Normal"/>
        <w:snapToGrid w:val="false"/>
        <w:ind w:left="148" w:firstLine="142"/>
        <w:jc w:val="center"/>
        <w:rPr>
          <w:rFonts w:ascii="Times New Roman" w:hAnsi="Times New Roman" w:cs="Times New Roman"/>
          <w:b/>
          <w:b/>
          <w:bCs/>
        </w:rPr>
      </w:pPr>
      <w:r>
        <w:rPr>
          <w:rFonts w:cs="Times New Roman" w:ascii="Times New Roman" w:hAnsi="Times New Roman"/>
          <w:b/>
          <w:bCs/>
        </w:rPr>
        <w:t>ΘΕΜΑ: Προσδιορισμός του κόστους των ασφαλιστικών εισφορών λόγω αναστολής συμβάσεων εργασίας και διαδικασίας χρηματοδότησής τους</w:t>
      </w:r>
    </w:p>
    <w:p>
      <w:pPr>
        <w:pStyle w:val="Normal"/>
        <w:snapToGrid w:val="false"/>
        <w:ind w:left="148" w:firstLine="142"/>
        <w:jc w:val="center"/>
        <w:rPr>
          <w:rFonts w:ascii="Times New Roman" w:hAnsi="Times New Roman" w:cs="Times New Roman"/>
          <w:b/>
          <w:b/>
          <w:bCs/>
        </w:rPr>
      </w:pPr>
      <w:r>
        <w:rPr>
          <w:rFonts w:cs="Times New Roman" w:ascii="Times New Roman" w:hAnsi="Times New Roman"/>
          <w:b/>
          <w:bCs/>
        </w:rPr>
      </w:r>
    </w:p>
    <w:p>
      <w:pPr>
        <w:pStyle w:val="Normal"/>
        <w:snapToGrid w:val="false"/>
        <w:ind w:left="148" w:firstLine="142"/>
        <w:jc w:val="center"/>
        <w:rPr>
          <w:rFonts w:ascii="Times New Roman" w:hAnsi="Times New Roman" w:cs="Times New Roman"/>
          <w:b/>
          <w:b/>
          <w:bCs/>
        </w:rPr>
      </w:pPr>
      <w:r>
        <w:rPr>
          <w:rFonts w:cs="Times New Roman" w:ascii="Times New Roman" w:hAnsi="Times New Roman"/>
          <w:b/>
          <w:bCs/>
        </w:rPr>
        <w:t>ΟΙ ΥΠΟΥΡΓΟΙ</w:t>
      </w:r>
    </w:p>
    <w:p>
      <w:pPr>
        <w:pStyle w:val="Normal"/>
        <w:snapToGrid w:val="false"/>
        <w:spacing w:lineRule="auto" w:line="360"/>
        <w:ind w:left="148" w:firstLine="142"/>
        <w:jc w:val="center"/>
        <w:rPr>
          <w:rFonts w:ascii="Times New Roman" w:hAnsi="Times New Roman" w:cs="Times New Roman"/>
          <w:b/>
          <w:b/>
          <w:bCs/>
        </w:rPr>
      </w:pPr>
      <w:r>
        <w:rPr>
          <w:rFonts w:cs="Times New Roman" w:ascii="Times New Roman" w:hAnsi="Times New Roman"/>
          <w:b/>
          <w:bCs/>
        </w:rPr>
        <w:t>ΟΙΚΟΝΟΜΙΚΩΝ    &amp;    ΕΡΓΑΣΙΑΣ ΚΑΙ ΚΟΙΝΩΝΙΚΩΝ ΥΠΟΘΕΣΕΩΝ</w:t>
      </w:r>
    </w:p>
    <w:p>
      <w:pPr>
        <w:pStyle w:val="Normal"/>
        <w:snapToGrid w:val="false"/>
        <w:spacing w:lineRule="auto" w:line="360"/>
        <w:jc w:val="both"/>
        <w:rPr>
          <w:rFonts w:ascii="Times New Roman" w:hAnsi="Times New Roman" w:cs="Times New Roman"/>
          <w:b/>
          <w:b/>
          <w:bCs/>
        </w:rPr>
      </w:pPr>
      <w:r>
        <w:rPr>
          <w:rFonts w:cs="Times New Roman" w:ascii="Times New Roman" w:hAnsi="Times New Roman"/>
          <w:b/>
          <w:bCs/>
        </w:rPr>
        <w:t>Έχοντας υπόψη:</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 xml:space="preserve">Τις διατάξεις της από 14/3/2020 Πράξης Νομοθετικού Περιεχομένου «Κατεπείγοντα μέτρα αντιμετώπισης της ανάγκης περιορισμού της διασποράς του COVID-19 (Α΄ 64)» και κυρίως το άρθρο δέκατο τρίτο,  όπως κυρώθηκαν  με το άρθρο 3 του ν. 4682/2020 (Α΄ 76). </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της από 20/3/2020 Πράξης Νομοθετικού Περιεχομένου «Κατεπείγοντα μέτρα για την αντιμετώπιση των συνεπειών του κινδύνου διασποράς του κορωνοϊού COVID-19, τη στήριξη της κοινωνίας και της επιχειρηματικότητας και τη διασφάλιση της ομαλής λειτουργίας της αγοράς και της δημόσιας διοίκησης» και κυρίως το άρθρο ενδέκατο, όπως κυρώθηκαν με το άρθρο 1 του ν. 4683/2020 (Α΄ 83).</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της υπ΄αριθμ. 12998/232/2020 (Β΄1078) κοινής υπουργικής απόφασης «Μέτρα στήριξης εργαζομένων του ιδιωτικού τομέα, που έχουν αριθμό μητρώου εργοδότη (ΑΜΕ) στον e-ΕΦΚΑ, των οποίων ή έχει ανασταλεί η επιχειρηματική τους δραστηριότητα, βάσει ΚΑΔ, με εντολή δημόσιας αρχής ή πλήττονται σημαντικά βάσει ΚΑΔ κύριας δραστηριότητας ή δευτερεύουσας βάσει των ακαθάριστων εσόδων έτους 2018, όπως ορίζονται από το Υπουργείο Οικονομικών, για την αντιμετώπιση των επιπτώσεων του κορωνοϊού COVID-19», όπως ισχύουν.</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του ν. 4270/2014 (Α΄143) «Αρχές δημοσιονομικής διαχείρισης και εποπτείας (ενσωμάτωση της Οδηγίας 2011/85/ΕΕ) – δημόσιο λογιστικό και άλλες διατάξεις».</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του ν. 4622/2019 (Α΄ 133) «Επιτελικό Κράτος: Οργάνωση, λειτουργία και διαφάνεια της Κυβέρνησης, των κυβερνητικών οργάνων και της κεντρικής δημόσιας διοίκησης», όπως ισχύει.</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του ν. 4651/2019 (Α΄209) «Κύρωση του κρατικού προϋπολογισμού οικονομικού έτους 2020».</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του άρθρου 90 του π.δ. 63/2005 (Α΄98) «Κωδικοποίηση για την Κυβέρνηση και τα κυβερνητικά όργανα».</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του π.δ. 80/2016 (Α΄145) «Ανάληψη υποχρεώσεων από τους διατάκτες».</w:t>
      </w:r>
    </w:p>
    <w:p>
      <w:pPr>
        <w:pStyle w:val="ListParagraph"/>
        <w:numPr>
          <w:ilvl w:val="0"/>
          <w:numId w:val="1"/>
        </w:numPr>
        <w:spacing w:lineRule="auto" w:line="360"/>
        <w:jc w:val="both"/>
        <w:rPr/>
      </w:pPr>
      <w:r>
        <w:rPr>
          <w:rFonts w:cs="Times New Roman" w:ascii="Times New Roman" w:hAnsi="Times New Roman"/>
          <w:bCs/>
        </w:rPr>
        <w:t>Το </w:t>
      </w:r>
      <w:hyperlink r:id="rId3" w:tgtFrame="Οργανισμός Υπουργείου Οικονομικών (Π.Δ. 142/2017)">
        <w:r>
          <w:rPr>
            <w:rStyle w:val="ListLabel7"/>
            <w:rFonts w:cs="Times New Roman" w:ascii="Times New Roman" w:hAnsi="Times New Roman"/>
            <w:bCs/>
          </w:rPr>
          <w:t>π.δ. 142/2017</w:t>
        </w:r>
      </w:hyperlink>
      <w:r>
        <w:rPr>
          <w:rFonts w:cs="Times New Roman" w:ascii="Times New Roman" w:hAnsi="Times New Roman"/>
          <w:bCs/>
        </w:rPr>
        <w:t> «Οργανισμός Υπουργείου Οικονομικών» (Α΄ 181), όπως ισχύει.</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του π.δ. 134/2017 (Α΄168) «Οργανισμός Υπουργείου Εργασίας, Κοινωνικής Ασφάλισης και Κοινωνικής Αλληλεγγύης», όπως ισχύει.</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του π.δ. 81/2019 (Α΄119) «Σύσταση, συγχώνευση, μετονομασία και κατάργηση Υπουργείων και καθορισμός των αρμοδιοτήτων τους – Μεταφορά υπηρεσιών και αρμοδιοτήτων μεταξύ Υπουργείων».</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Το π.δ. 83/2019 «Διορισμός Αντιπροέδρου της Κυβέρνησης, Υπουργών, Αναπληρωτών Υπουργών και Υφυπουργών» (Α΄ 121).</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Τις διατάξεις του άρθρου 7 του Π.Δ. 84/2019 (Α΄123) «Σύσταση και κατάργηση Γενικών Γραμματειών και Ειδικών Γραμματειών/Ενιαίων Διοικητικών Τομέων Υπουργείων».</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Την υπ. αριθμ. 340/2019 απόφαση του Πρωθυπουργού και του Υπουργού Οικονομικών «Ανάθεση αρμοδιοτήτων στον Υφυπουργό Οικονομικών, Θεόδωρο Σκυλακάκη» (Β’ 3051).</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Την υπ’ αριθμ. 16523/942 / 27.04.2020 ΓΔ2 εισήγηση του Αναπληρωτή  Προϊσταμένου της Γενικής Διεύθυνσης Οικονομικών Υπηρεσιών του Υπουργείου Εργασίας και Κοινωνικών Υποθέσεων.</w:t>
      </w:r>
    </w:p>
    <w:p>
      <w:pPr>
        <w:pStyle w:val="ListParagraph"/>
        <w:numPr>
          <w:ilvl w:val="0"/>
          <w:numId w:val="1"/>
        </w:numPr>
        <w:spacing w:lineRule="auto" w:line="360"/>
        <w:jc w:val="both"/>
        <w:rPr>
          <w:rFonts w:ascii="Times New Roman" w:hAnsi="Times New Roman" w:cs="Times New Roman"/>
          <w:bCs/>
        </w:rPr>
      </w:pPr>
      <w:r>
        <w:rPr>
          <w:rFonts w:cs="Times New Roman" w:ascii="Times New Roman" w:hAnsi="Times New Roman"/>
          <w:bCs/>
        </w:rPr>
        <w:t>Το γεγονός ότι με την εφαρμογή της παρούσας απόφασης προκαλείται δαπάνη στον κρατικό προϋπολογισμό ύψους έως 707 εκ ευρώ περίπου για το έτος 2020, για την επιχορήγηση του e-ΕΦΚΑ για την κάλυψη των ασφαλιστικών εισφορών για τη μισθολογική περίοδο 15 Μαρτίου έως 30 Απριλίου 2020 ή δαπάνη έως 1.318 εκ ευρώ περίπου για την επιχορήγηση του e-ΕΦΚΑ για την κάλυψη των ασφαλιστικών εισφορών για τη μισθολογική περίοδο 15 Μαρτίου έως 31 Μαίου 2020.</w:t>
      </w:r>
    </w:p>
    <w:p>
      <w:pPr>
        <w:pStyle w:val="Normal"/>
        <w:spacing w:lineRule="auto" w:line="360"/>
        <w:ind w:left="360" w:hanging="0"/>
        <w:jc w:val="center"/>
        <w:rPr>
          <w:rFonts w:ascii="Times New Roman" w:hAnsi="Times New Roman" w:cs="Times New Roman"/>
          <w:b/>
          <w:b/>
          <w:bCs/>
        </w:rPr>
      </w:pPr>
      <w:r>
        <w:rPr>
          <w:rFonts w:cs="Times New Roman" w:ascii="Times New Roman" w:hAnsi="Times New Roman"/>
          <w:b/>
          <w:bCs/>
        </w:rPr>
        <w:t>Αποφασίζουμε</w:t>
      </w:r>
    </w:p>
    <w:p>
      <w:pPr>
        <w:pStyle w:val="Normal"/>
        <w:spacing w:lineRule="auto" w:line="360"/>
        <w:ind w:left="709" w:hanging="0"/>
        <w:jc w:val="both"/>
        <w:rPr>
          <w:rFonts w:ascii="Times New Roman" w:hAnsi="Times New Roman" w:cs="Times New Roman"/>
          <w:bCs/>
        </w:rPr>
      </w:pPr>
      <w:r>
        <w:rPr>
          <w:rFonts w:cs="Times New Roman" w:ascii="Times New Roman" w:hAnsi="Times New Roman"/>
          <w:bCs/>
        </w:rPr>
        <w:t>Τη διαδικασία προσδιορισμού του κόστους των ασφαλιστικών εισφορών λόγω αναστολής συμβάσεων εργασίας, οι οποίες καλύπτονται από τον κρατικό προϋπολογισμό και τη διαδικασία χρηματοδότησής τους, ως ακολούθως:</w:t>
      </w:r>
    </w:p>
    <w:p>
      <w:pPr>
        <w:pStyle w:val="Normal"/>
        <w:spacing w:lineRule="auto" w:line="360" w:beforeAutospacing="1" w:after="0"/>
        <w:jc w:val="center"/>
        <w:rPr>
          <w:rFonts w:ascii="Times New Roman" w:hAnsi="Times New Roman" w:cs="Times New Roman"/>
          <w:b/>
          <w:b/>
          <w:bCs/>
        </w:rPr>
      </w:pPr>
      <w:r>
        <w:rPr>
          <w:rFonts w:cs="Times New Roman" w:ascii="Times New Roman" w:hAnsi="Times New Roman"/>
          <w:b/>
          <w:bCs/>
        </w:rPr>
      </w:r>
    </w:p>
    <w:p>
      <w:pPr>
        <w:pStyle w:val="Normal"/>
        <w:spacing w:lineRule="auto" w:line="360" w:beforeAutospacing="1" w:after="0"/>
        <w:jc w:val="center"/>
        <w:rPr>
          <w:rFonts w:ascii="Times New Roman" w:hAnsi="Times New Roman" w:cs="Times New Roman"/>
          <w:b/>
          <w:b/>
          <w:bCs/>
        </w:rPr>
      </w:pPr>
      <w:r>
        <w:rPr>
          <w:rFonts w:cs="Times New Roman" w:ascii="Times New Roman" w:hAnsi="Times New Roman"/>
          <w:b/>
          <w:bCs/>
        </w:rPr>
      </w:r>
    </w:p>
    <w:p>
      <w:pPr>
        <w:pStyle w:val="Normal"/>
        <w:spacing w:lineRule="auto" w:line="360" w:beforeAutospacing="1" w:after="0"/>
        <w:jc w:val="center"/>
        <w:rPr>
          <w:rFonts w:ascii="Times New Roman" w:hAnsi="Times New Roman" w:cs="Times New Roman"/>
          <w:b/>
          <w:b/>
          <w:bCs/>
        </w:rPr>
      </w:pPr>
      <w:r>
        <w:rPr>
          <w:rFonts w:cs="Times New Roman" w:ascii="Times New Roman" w:hAnsi="Times New Roman"/>
          <w:b/>
          <w:bCs/>
        </w:rPr>
        <w:t>Άρθρο 1</w:t>
      </w:r>
    </w:p>
    <w:p>
      <w:pPr>
        <w:pStyle w:val="Normal"/>
        <w:spacing w:lineRule="auto" w:line="360" w:beforeAutospacing="1" w:after="0"/>
        <w:jc w:val="both"/>
        <w:rPr>
          <w:rFonts w:ascii="Times New Roman" w:hAnsi="Times New Roman" w:cs="Times New Roman"/>
          <w:b/>
          <w:b/>
          <w:color w:val="000000" w:themeColor="text1"/>
        </w:rPr>
      </w:pPr>
      <w:r>
        <w:rPr>
          <w:rFonts w:cs="Times New Roman" w:ascii="Times New Roman" w:hAnsi="Times New Roman"/>
          <w:b/>
          <w:bCs/>
          <w:color w:val="000000" w:themeColor="text1"/>
        </w:rPr>
        <w:t xml:space="preserve">Προσδιορισμός του κόστους των ασφαλιστικών εισφορών λόγω αναστολής συμβάσεων εργασίας σύμφωνα με </w:t>
      </w:r>
      <w:r>
        <w:rPr>
          <w:rFonts w:cs="Times New Roman" w:ascii="Times New Roman" w:hAnsi="Times New Roman"/>
          <w:b/>
          <w:color w:val="000000" w:themeColor="text1"/>
        </w:rPr>
        <w:t>τις διατάξεις της αριθμ. 12998/232/23-3-2020 κοινής υπουργικής απόφασης (1078/Β΄/28-3-2020).</w:t>
      </w:r>
    </w:p>
    <w:p>
      <w:pPr>
        <w:pStyle w:val="Normal"/>
        <w:numPr>
          <w:ilvl w:val="0"/>
          <w:numId w:val="2"/>
        </w:numPr>
        <w:spacing w:lineRule="auto" w:line="360" w:beforeAutospacing="1"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 xml:space="preserve">Οι ασφαλιστικές εισφορές που καλύπτονται από τον κρατικό προϋπολογισμό για τους εργαζόμενους με αναστολή συμβάσεων εργασίας σύμφωνα με το άρθρο 3 του κεφαλαίου Α.1. και του άρθρου 2 του κεφαλαίου Α.2 της αριθμ. 12998/232/23-3-2020 κοινής υπουργικής απόφασης (1078/Β΄/28-3-2020) όπως ισχύει, προσδιορίζονται μέσω των  Αναλυτικών Περιοδικών Δηλώσεων  (Α.Π.Δ.) που υποβάλλονται για την αντίστοιχη μισθολογική περίοδο. </w:t>
      </w:r>
    </w:p>
    <w:p>
      <w:pPr>
        <w:pStyle w:val="Normal"/>
        <w:numPr>
          <w:ilvl w:val="0"/>
          <w:numId w:val="2"/>
        </w:numPr>
        <w:spacing w:lineRule="auto" w:line="360" w:before="0"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Για κάθε μηνιαία μισθολογική περίοδο υποβάλλεται Αναλυτική Περιοδική Δήλωση (Α.Π.Δ.) με κωδικό τύπου: 01 Κανονική, όπως προβλέπεται από τις κείμενες διατάξεις. Για τους μισθωτούς που αμείβονται με μισθό ή ημερομίσθιο, με σχέση εργασίας ιδιωτικού δικαίου αορίστου ή ορισμένου χρόνου, με πλήρη ή μειωμένη ή εκ περιτροπής απασχόληση, για το χρονικό διάστημα απασχόλησης έως την αναστολή των συμβάσεων εργασίας τους, καταχωρίζονται στην Α.Π.Δ. τα στοιχεία της πραγματικής τους απασχόλησης.</w:t>
      </w:r>
    </w:p>
    <w:p>
      <w:pPr>
        <w:pStyle w:val="Normal"/>
        <w:numPr>
          <w:ilvl w:val="0"/>
          <w:numId w:val="2"/>
        </w:numPr>
        <w:spacing w:lineRule="auto" w:line="360" w:before="0"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 xml:space="preserve">Για το χρονικό διάστημα αναστολής των συμβάσεων εργασίας των ως άνω μισθωτών, καταχωρίζονται στην Α.Π.Δ. της ίδιας μισθολογικής περιόδου, τα στοιχεία του μισθού ή του ημερομισθίου, με πλήρη ή μειωμένη ή εκ περιτροπής απασχόληση με βάση τις συμβάσεις εργασίας ιδιωτικού δικαίου αορίστου ή ορισμένου χρόνου, όπως αυτά θα καταχωρίζονταν εάν δεν είχαν τεθεί σε αναστολή οι συμβάσεις εργασίας. Οι αποδοχές της περίπτωσης αυτής καταχωρίζονται στην Α.Π.Δ. με κωδικό </w:t>
      </w:r>
      <w:r>
        <w:rPr>
          <w:rFonts w:cs="Times New Roman" w:ascii="Times New Roman" w:hAnsi="Times New Roman"/>
          <w:color w:val="000000" w:themeColor="text1"/>
        </w:rPr>
        <w:t>ειδικού τύπου αποδοχών</w:t>
      </w:r>
      <w:r>
        <w:rPr>
          <w:rFonts w:cs="Times New Roman" w:ascii="Times New Roman" w:hAnsi="Times New Roman"/>
          <w:bCs/>
          <w:color w:val="000000" w:themeColor="text1"/>
        </w:rPr>
        <w:t xml:space="preserve">, οι λεπτομέρειες για τον οποίο θα καθοριστούν από τις αρμόδιες υπηρεσίες του </w:t>
      </w:r>
      <w:r>
        <w:rPr>
          <w:rFonts w:cs="Times New Roman" w:ascii="Times New Roman" w:hAnsi="Times New Roman"/>
          <w:bCs/>
          <w:color w:val="000000" w:themeColor="text1"/>
          <w:lang w:val="en-US"/>
        </w:rPr>
        <w:t>e</w:t>
      </w:r>
      <w:r>
        <w:rPr>
          <w:rFonts w:cs="Times New Roman" w:ascii="Times New Roman" w:hAnsi="Times New Roman"/>
          <w:bCs/>
          <w:color w:val="000000" w:themeColor="text1"/>
        </w:rPr>
        <w:t>-ΕΦΚΑ. Για τη μισθολογική περίοδο απασχόλησης Μαρτίου 2020, η ημερομηνία έναρξης αναστολής των συμβάσεων εργασίας είναι αυτή που δηλώνεται στην οικεία Α.Π.Δ., η οποία δεν μπορεί να είναι πριν την 15</w:t>
      </w:r>
      <w:r>
        <w:rPr>
          <w:rFonts w:cs="Times New Roman" w:ascii="Times New Roman" w:hAnsi="Times New Roman"/>
          <w:bCs/>
          <w:color w:val="000000" w:themeColor="text1"/>
          <w:vertAlign w:val="superscript"/>
        </w:rPr>
        <w:t>η</w:t>
      </w:r>
      <w:r>
        <w:rPr>
          <w:rFonts w:cs="Times New Roman" w:ascii="Times New Roman" w:hAnsi="Times New Roman"/>
          <w:bCs/>
          <w:color w:val="000000" w:themeColor="text1"/>
        </w:rPr>
        <w:t xml:space="preserve"> Μαρτίου για τις επιχειρήσεις που εμπίπτουν στο κεφάλαιο Α.1. </w:t>
      </w:r>
      <w:r>
        <w:rPr>
          <w:rFonts w:cs="Times New Roman" w:ascii="Times New Roman" w:hAnsi="Times New Roman"/>
          <w:color w:val="000000" w:themeColor="text1"/>
        </w:rPr>
        <w:t>της αριθμ. 12998/232/23-3-2020 κοινής υπουργικής απόφασης (1078/Β΄/28-3-2020) ή πριν την 21</w:t>
      </w:r>
      <w:r>
        <w:rPr>
          <w:rFonts w:cs="Times New Roman" w:ascii="Times New Roman" w:hAnsi="Times New Roman"/>
          <w:color w:val="000000" w:themeColor="text1"/>
          <w:vertAlign w:val="superscript"/>
        </w:rPr>
        <w:t>η</w:t>
      </w:r>
      <w:r>
        <w:rPr>
          <w:rFonts w:cs="Times New Roman" w:ascii="Times New Roman" w:hAnsi="Times New Roman"/>
          <w:color w:val="000000" w:themeColor="text1"/>
        </w:rPr>
        <w:t xml:space="preserve"> Μαρτίου για τις επιχειρήσεις που εμπίπτουν στο κεφάλαιο Α.2 της ίδιας απόφασης.</w:t>
      </w:r>
      <w:r>
        <w:rPr>
          <w:rFonts w:cs="Times New Roman" w:ascii="Times New Roman" w:hAnsi="Times New Roman"/>
          <w:b/>
          <w:color w:val="000000" w:themeColor="text1"/>
        </w:rPr>
        <w:t xml:space="preserve"> </w:t>
      </w:r>
    </w:p>
    <w:p>
      <w:pPr>
        <w:pStyle w:val="Normal"/>
        <w:numPr>
          <w:ilvl w:val="0"/>
          <w:numId w:val="2"/>
        </w:numPr>
        <w:spacing w:lineRule="auto" w:line="360" w:before="0"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 xml:space="preserve">Στις περιπτώσεις που επιχειρήσεις-εργοδότες, καταβάλλουν αποδοχές οικειοθελώς ή εξ ελευθεριότητας, σε εργαζομένους των οποίων οι συμβάσεις εργασίας τους τελούν σε αναστολή και είναι δικαιούχοι αποζημίωσης ειδικού σκοπού, τα ποσά των αποδοχών αυτών που καταβάλλονται από τις υπόχρεες επιχειρήσεις-εργοδότες, καταχωρίζονται στην Α.Π.Δ με κωδικό τύπου αποδοχών (14) «Λοιπές αποδοχές». </w:t>
      </w:r>
    </w:p>
    <w:p>
      <w:pPr>
        <w:pStyle w:val="Normal"/>
        <w:numPr>
          <w:ilvl w:val="0"/>
          <w:numId w:val="2"/>
        </w:numPr>
        <w:spacing w:lineRule="auto" w:line="360" w:before="0"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 xml:space="preserve">Στις περιπτώσεις που επιχειρήσεις-εργοδότες, απασχολούν εκτάκτως με τηλεργασία, εργαζομένους  των οποίων οι συμβάσεις εργασίας τους τελούσαν σε αναστολή και οι οποίοι συνέχισαν να είναι δικαιούχοι της αποζημίωσης ειδικού σκοπού, τα ποσά των αποδοχών που καταβάλλονται από τις υπόχρεες επιχειρήσεις-εργοδότες για το διάστημα διακοπής της αναστολής και έκτακτης παροχής τηλεργασίας, καταχωρίζονται στην Α.Π.Δ με κωδικό τύπου αποδοχών (14) «Λοιπές αποδοχές». </w:t>
      </w:r>
    </w:p>
    <w:p>
      <w:pPr>
        <w:pStyle w:val="Normal"/>
        <w:numPr>
          <w:ilvl w:val="0"/>
          <w:numId w:val="2"/>
        </w:numPr>
        <w:spacing w:lineRule="auto" w:line="360" w:before="0"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Η προθεσμία υποβολής της Α.Π.Δ. μισθολογικής περιόδου απασχόλησης Μαρτίου 2020, και των συμπληρωματικών Α.Π.Δ. της ίδιας περιόδου, οι οποίες μπορεί να είναι περισσότερες από μία, παρατείνεται έως τις 15/05/2020 και αφορά αποκλειστικά και μόνο τις επιχειρήσεις-εργοδότες, των οποίων είτε έχει ανασταλεί η επιχειρηματική δραστηριότητα με εντολή δημόσιας αρχής, είτε πλήττονται σημαντικά,  βάσει των οριζόμενων στις σχετικές αποφάσεις του Υπουργείου Οικονομικών, ΚΑΔ κύριας ή δευτερεύουσας δραστηριότητας.</w:t>
      </w:r>
    </w:p>
    <w:p>
      <w:pPr>
        <w:pStyle w:val="Normal"/>
        <w:numPr>
          <w:ilvl w:val="0"/>
          <w:numId w:val="2"/>
        </w:numPr>
        <w:spacing w:lineRule="auto" w:line="360" w:before="0"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Ο e-EΦΚΑ συγκεντρώνει μέσω της διαδικασίας που προβλέπεται στις παραγράφους 3,4 και 5 του παρόντος και αποστέλλει στο Υπουργείο Εργασίας και Κοινωνικών Υποθέσεων τα μηνιαία στοιχεία των απαιτητών ασφαλιστικών εισφορών που βαρύνουν τον κρατικό προϋπολογισμό.</w:t>
      </w:r>
    </w:p>
    <w:p>
      <w:pPr>
        <w:pStyle w:val="Normal"/>
        <w:numPr>
          <w:ilvl w:val="0"/>
          <w:numId w:val="2"/>
        </w:numPr>
        <w:spacing w:lineRule="auto" w:line="360" w:before="0"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Τα δεδομένα που καταχωρούνται στις Α.Π.Δ διασταυρώνονται με το πληροφοριακό σύστημα «ΕΡΓΑΝΗ» του Υπουργείου Εργασίας και Κοινωνικών Υποθέσεων καθώς και με συγκριτικά στοιχεία απασχόλησης προηγούμενων μηνών καθώς και ιστορικά στοιχεία λειτουργίας της επιχείρησης προκειμένου να επιβεβαιωθεί η ορθότητα των στοιχείων απασχόλησης και εισφορών που δηλώνονται για τα οποία βαρύνεται ο κρατικός προϋπολογισμός και όπου απαιτείται, εκδίδονται και επιδίδονται ηλεκτρονικά οι προβλεπόμενες πράξεις επιβολής εισφορών και βεβαιώσεις οφειλής.</w:t>
      </w:r>
    </w:p>
    <w:p>
      <w:pPr>
        <w:pStyle w:val="Normal"/>
        <w:spacing w:lineRule="auto" w:line="240"/>
        <w:jc w:val="center"/>
        <w:rPr>
          <w:rFonts w:ascii="Times New Roman" w:hAnsi="Times New Roman" w:cs="Times New Roman"/>
          <w:b/>
          <w:b/>
          <w:bCs/>
          <w:color w:val="000000" w:themeColor="text1"/>
        </w:rPr>
      </w:pPr>
      <w:r>
        <w:rPr>
          <w:rFonts w:cs="Times New Roman" w:ascii="Times New Roman" w:hAnsi="Times New Roman"/>
          <w:b/>
          <w:bCs/>
          <w:color w:val="000000" w:themeColor="text1"/>
        </w:rPr>
        <w:t>Άρθρο 2</w:t>
      </w:r>
    </w:p>
    <w:p>
      <w:pPr>
        <w:pStyle w:val="Normal"/>
        <w:spacing w:lineRule="auto" w:line="240"/>
        <w:jc w:val="center"/>
        <w:rPr>
          <w:rFonts w:ascii="Times New Roman" w:hAnsi="Times New Roman" w:cs="Times New Roman"/>
          <w:b/>
          <w:b/>
          <w:bCs/>
          <w:color w:val="000000" w:themeColor="text1"/>
        </w:rPr>
      </w:pPr>
      <w:r>
        <w:rPr>
          <w:rFonts w:cs="Times New Roman" w:ascii="Times New Roman" w:hAnsi="Times New Roman"/>
          <w:b/>
          <w:bCs/>
          <w:color w:val="000000" w:themeColor="text1"/>
        </w:rPr>
        <w:t>Χρηματοδότηση ασφαλιστικών εισφορών από τον κρατικό προϋπολογισμό</w:t>
      </w:r>
    </w:p>
    <w:p>
      <w:pPr>
        <w:pStyle w:val="ListParagraph"/>
        <w:numPr>
          <w:ilvl w:val="0"/>
          <w:numId w:val="3"/>
        </w:numPr>
        <w:spacing w:lineRule="auto" w:line="360" w:beforeAutospacing="1"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Το σύνολο των ασφαλιστικών εισφορών που αντιστοιχούν στις αποδοχές που καταχωρίζονται με τον κωδικό ειδικού τύπου αποδοχών της παρ 3 του άρθρου 1 της παρούσας, μειωμένων κατά το ύψος των εισφορών που αντιστοιχούν στις αποδοχές που καταχωρίζονται με κωδικό τύπου αποδοχών (014) «Λοιπές αποδοχές»,  της παρ 4 και 5 του άρθρου 1 της παρούσας, καλύπτεται από τον κρατικό προϋπολογισμό.</w:t>
      </w:r>
    </w:p>
    <w:p>
      <w:pPr>
        <w:pStyle w:val="ListParagraph"/>
        <w:numPr>
          <w:ilvl w:val="0"/>
          <w:numId w:val="3"/>
        </w:numPr>
        <w:spacing w:lineRule="auto" w:line="360" w:before="0" w:after="0"/>
        <w:ind w:left="0" w:hanging="0"/>
        <w:contextualSpacing/>
        <w:jc w:val="both"/>
        <w:rPr>
          <w:rFonts w:ascii="Times New Roman" w:hAnsi="Times New Roman" w:cs="Times New Roman"/>
          <w:bCs/>
          <w:color w:val="000000" w:themeColor="text1"/>
        </w:rPr>
      </w:pPr>
      <w:r>
        <w:rPr>
          <w:rFonts w:cs="Times New Roman" w:ascii="Times New Roman" w:hAnsi="Times New Roman"/>
          <w:bCs/>
          <w:color w:val="000000" w:themeColor="text1"/>
        </w:rPr>
        <w:t xml:space="preserve">Οι αναγκαίες πιστώσεις μεταφέρονται από τον κρατικό προϋπολογισμό, στον τακτικό προϋπολογισμό του Υπουργείου Εργασίας και Κοινωνικών Υποθέσεων για την επιχορήγηση του </w:t>
      </w:r>
      <w:r>
        <w:rPr>
          <w:rFonts w:cs="Times New Roman" w:ascii="Times New Roman" w:hAnsi="Times New Roman"/>
          <w:bCs/>
          <w:color w:val="000000" w:themeColor="text1"/>
          <w:lang w:val="en-US"/>
        </w:rPr>
        <w:t>e</w:t>
      </w:r>
      <w:r>
        <w:rPr>
          <w:rFonts w:cs="Times New Roman" w:ascii="Times New Roman" w:hAnsi="Times New Roman"/>
          <w:bCs/>
          <w:color w:val="000000" w:themeColor="text1"/>
        </w:rPr>
        <w:t>-</w:t>
      </w:r>
      <w:r>
        <w:rPr>
          <w:rFonts w:cs="Times New Roman" w:ascii="Times New Roman" w:hAnsi="Times New Roman"/>
          <w:bCs/>
          <w:color w:val="000000" w:themeColor="text1"/>
          <w:lang w:val="en-US"/>
        </w:rPr>
        <w:t>E</w:t>
      </w:r>
      <w:r>
        <w:rPr>
          <w:rFonts w:cs="Times New Roman" w:ascii="Times New Roman" w:hAnsi="Times New Roman"/>
          <w:bCs/>
          <w:color w:val="000000" w:themeColor="text1"/>
        </w:rPr>
        <w:t xml:space="preserve">ΦΚΑ, για την κάλυψη του κόστους των ασφαλιστικών εισφορών, όπως αυτές προσδιορίζονται από την εφαρμογή των διατάξεων της παρούσας απόφασης. </w:t>
      </w:r>
    </w:p>
    <w:p>
      <w:pPr>
        <w:pStyle w:val="Normal"/>
        <w:spacing w:lineRule="auto" w:line="240"/>
        <w:jc w:val="center"/>
        <w:rPr>
          <w:rFonts w:ascii="Times New Roman" w:hAnsi="Times New Roman" w:cs="Times New Roman"/>
          <w:b/>
          <w:b/>
          <w:bCs/>
          <w:color w:val="000000" w:themeColor="text1"/>
        </w:rPr>
      </w:pPr>
      <w:r>
        <w:rPr>
          <w:rFonts w:cs="Times New Roman" w:ascii="Times New Roman" w:hAnsi="Times New Roman"/>
          <w:b/>
          <w:bCs/>
          <w:color w:val="000000" w:themeColor="text1"/>
        </w:rPr>
        <w:t>Άρθρο 3</w:t>
      </w:r>
    </w:p>
    <w:p>
      <w:pPr>
        <w:pStyle w:val="Normal"/>
        <w:spacing w:lineRule="auto" w:line="240"/>
        <w:jc w:val="center"/>
        <w:rPr>
          <w:rFonts w:ascii="Times New Roman" w:hAnsi="Times New Roman" w:cs="Times New Roman"/>
          <w:b/>
          <w:b/>
          <w:bCs/>
          <w:color w:val="000000" w:themeColor="text1"/>
        </w:rPr>
      </w:pPr>
      <w:r>
        <w:rPr>
          <w:rFonts w:cs="Times New Roman" w:ascii="Times New Roman" w:hAnsi="Times New Roman"/>
          <w:b/>
          <w:bCs/>
          <w:color w:val="000000" w:themeColor="text1"/>
        </w:rPr>
        <w:t>Έναρξη ισχύος</w:t>
      </w:r>
    </w:p>
    <w:p>
      <w:pPr>
        <w:pStyle w:val="Normal"/>
        <w:spacing w:lineRule="auto" w:line="360"/>
        <w:ind w:left="720" w:hanging="0"/>
        <w:jc w:val="both"/>
        <w:rPr>
          <w:rFonts w:ascii="Times New Roman" w:hAnsi="Times New Roman" w:cs="Times New Roman"/>
          <w:bCs/>
          <w:color w:val="000000" w:themeColor="text1"/>
        </w:rPr>
      </w:pPr>
      <w:r>
        <w:rPr>
          <w:rFonts w:cs="Times New Roman" w:ascii="Times New Roman" w:hAnsi="Times New Roman"/>
          <w:bCs/>
          <w:color w:val="000000" w:themeColor="text1"/>
        </w:rPr>
        <w:t>Η ισχύς της παρούσας αρχίζει τη δημοσίευσης στην Εφημερίδα της Κυβερνήσεως.</w:t>
      </w:r>
    </w:p>
    <w:p>
      <w:pPr>
        <w:pStyle w:val="Normal"/>
        <w:spacing w:lineRule="auto" w:line="360"/>
        <w:ind w:left="720" w:hanging="0"/>
        <w:jc w:val="both"/>
        <w:rPr>
          <w:rFonts w:ascii="Times New Roman" w:hAnsi="Times New Roman" w:cs="Times New Roman"/>
          <w:bCs/>
          <w:color w:val="000000" w:themeColor="text1"/>
        </w:rPr>
      </w:pPr>
      <w:r>
        <w:rPr>
          <w:rFonts w:cs="Times New Roman" w:ascii="Times New Roman" w:hAnsi="Times New Roman"/>
          <w:bCs/>
          <w:color w:val="000000" w:themeColor="text1"/>
        </w:rPr>
        <w:t>Η απόφαση αυτή να δημοσιευθεί στην Εφημερίδα της Κυβερνήσεως.</w:t>
      </w:r>
    </w:p>
    <w:p>
      <w:pPr>
        <w:pStyle w:val="Western"/>
        <w:spacing w:lineRule="auto" w:line="360" w:before="0" w:after="0"/>
        <w:jc w:val="both"/>
        <w:rPr>
          <w:color w:val="000000" w:themeColor="text1"/>
          <w:sz w:val="22"/>
          <w:szCs w:val="22"/>
        </w:rPr>
      </w:pPr>
      <w:r>
        <w:rPr>
          <w:rFonts w:eastAsia="Tahoma" w:cs="Arial" w:ascii="Calibri" w:hAnsi="Calibri"/>
          <w:color w:val="000000" w:themeColor="text1"/>
          <w:sz w:val="22"/>
          <w:szCs w:val="22"/>
        </w:rPr>
        <w:t xml:space="preserve">                                                                  </w:t>
      </w:r>
      <w:r>
        <w:rPr>
          <w:rFonts w:eastAsia="Tahoma"/>
          <w:color w:val="000000" w:themeColor="text1"/>
          <w:sz w:val="22"/>
          <w:szCs w:val="22"/>
        </w:rPr>
        <w:t xml:space="preserve">   </w:t>
      </w:r>
      <w:r>
        <w:rPr>
          <w:color w:val="000000" w:themeColor="text1"/>
          <w:sz w:val="22"/>
          <w:szCs w:val="22"/>
        </w:rPr>
        <w:t>Αθήνα, …  20…</w:t>
      </w:r>
    </w:p>
    <w:p>
      <w:pPr>
        <w:pStyle w:val="Normal"/>
        <w:spacing w:lineRule="auto" w:line="360"/>
        <w:jc w:val="center"/>
        <w:rPr>
          <w:rFonts w:ascii="Times New Roman" w:hAnsi="Times New Roman" w:cs="Times New Roman"/>
          <w:b/>
          <w:b/>
          <w:bCs/>
          <w:color w:val="000000" w:themeColor="text1"/>
        </w:rPr>
      </w:pPr>
      <w:r>
        <w:rPr>
          <w:rFonts w:cs="Times New Roman" w:ascii="Times New Roman" w:hAnsi="Times New Roman"/>
          <w:b/>
          <w:bCs/>
          <w:color w:val="000000" w:themeColor="text1"/>
        </w:rPr>
        <w:t>ΟΙ ΥΠΟΥΡΓΟΙ</w:t>
      </w:r>
    </w:p>
    <w:tbl>
      <w:tblPr>
        <w:tblStyle w:val="a7"/>
        <w:tblW w:w="9191" w:type="dxa"/>
        <w:jc w:val="center"/>
        <w:tblInd w:w="0" w:type="dxa"/>
        <w:tblCellMar>
          <w:top w:w="0" w:type="dxa"/>
          <w:left w:w="108" w:type="dxa"/>
          <w:bottom w:w="0" w:type="dxa"/>
          <w:right w:w="108" w:type="dxa"/>
        </w:tblCellMar>
        <w:tblLook w:val="04a0"/>
      </w:tblPr>
      <w:tblGrid>
        <w:gridCol w:w="4595"/>
        <w:gridCol w:w="4595"/>
      </w:tblGrid>
      <w:tr>
        <w:trPr/>
        <w:tc>
          <w:tcPr>
            <w:tcW w:w="4595" w:type="dxa"/>
            <w:tcBorders>
              <w:top w:val="nil"/>
              <w:left w:val="nil"/>
              <w:bottom w:val="nil"/>
              <w:right w:val="nil"/>
            </w:tcBorders>
            <w:shd w:fill="auto" w:val="clear"/>
          </w:tcPr>
          <w:p>
            <w:pPr>
              <w:pStyle w:val="Normal"/>
              <w:spacing w:lineRule="auto" w:line="360" w:before="0" w:after="0"/>
              <w:jc w:val="center"/>
              <w:rPr>
                <w:rFonts w:ascii="Times New Roman" w:hAnsi="Times New Roman" w:cs="Times New Roman"/>
                <w:b/>
                <w:b/>
                <w:bCs/>
                <w:color w:val="000000" w:themeColor="text1"/>
              </w:rPr>
            </w:pPr>
            <w:r>
              <w:rPr>
                <w:rFonts w:cs="Times New Roman" w:ascii="Times New Roman" w:hAnsi="Times New Roman"/>
                <w:b/>
                <w:bCs/>
                <w:color w:val="000000" w:themeColor="text1"/>
              </w:rPr>
              <w:t>ΟΙΚΟΝΟΜΙΚΩΝ</w:t>
            </w:r>
          </w:p>
          <w:p>
            <w:pPr>
              <w:pStyle w:val="Normal"/>
              <w:spacing w:lineRule="auto" w:line="360" w:before="0" w:after="0"/>
              <w:jc w:val="both"/>
              <w:rPr>
                <w:rFonts w:ascii="Times New Roman" w:hAnsi="Times New Roman" w:cs="Times New Roman"/>
                <w:b/>
                <w:b/>
                <w:bCs/>
                <w:color w:val="000000" w:themeColor="text1"/>
              </w:rPr>
            </w:pPr>
            <w:r>
              <w:rPr>
                <w:rFonts w:cs="Times New Roman" w:ascii="Times New Roman" w:hAnsi="Times New Roman"/>
                <w:b/>
                <w:bCs/>
                <w:color w:val="000000" w:themeColor="text1"/>
              </w:rPr>
            </w:r>
          </w:p>
          <w:p>
            <w:pPr>
              <w:pStyle w:val="Normal"/>
              <w:spacing w:lineRule="auto" w:line="360" w:before="0" w:after="0"/>
              <w:jc w:val="both"/>
              <w:rPr>
                <w:rFonts w:ascii="Times New Roman" w:hAnsi="Times New Roman" w:cs="Times New Roman"/>
                <w:b/>
                <w:b/>
                <w:bCs/>
                <w:color w:val="000000" w:themeColor="text1"/>
              </w:rPr>
            </w:pPr>
            <w:r>
              <w:rPr>
                <w:rFonts w:cs="Times New Roman" w:ascii="Times New Roman" w:hAnsi="Times New Roman"/>
                <w:b/>
                <w:bCs/>
                <w:color w:val="000000" w:themeColor="text1"/>
              </w:rPr>
            </w:r>
          </w:p>
          <w:p>
            <w:pPr>
              <w:pStyle w:val="Normal"/>
              <w:spacing w:lineRule="auto" w:line="360" w:before="0" w:after="0"/>
              <w:jc w:val="center"/>
              <w:rPr>
                <w:rFonts w:ascii="Times New Roman" w:hAnsi="Times New Roman" w:cs="Times New Roman"/>
                <w:b/>
                <w:b/>
                <w:bCs/>
                <w:color w:val="000000" w:themeColor="text1"/>
              </w:rPr>
            </w:pPr>
            <w:r>
              <w:rPr>
                <w:rFonts w:cs="Times New Roman" w:ascii="Times New Roman" w:hAnsi="Times New Roman"/>
                <w:b/>
                <w:bCs/>
                <w:color w:val="000000" w:themeColor="text1"/>
              </w:rPr>
              <w:t>ΧΡΗΣΤΟΣ ΣΤΑΙΚΟΥΡΑΣ</w:t>
            </w:r>
          </w:p>
        </w:tc>
        <w:tc>
          <w:tcPr>
            <w:tcW w:w="4595" w:type="dxa"/>
            <w:tcBorders>
              <w:top w:val="nil"/>
              <w:left w:val="nil"/>
              <w:bottom w:val="nil"/>
              <w:right w:val="nil"/>
            </w:tcBorders>
            <w:shd w:fill="auto" w:val="clear"/>
          </w:tcPr>
          <w:p>
            <w:pPr>
              <w:pStyle w:val="Normal"/>
              <w:spacing w:lineRule="auto" w:line="360" w:before="0" w:after="0"/>
              <w:jc w:val="center"/>
              <w:rPr>
                <w:rFonts w:ascii="Times New Roman" w:hAnsi="Times New Roman" w:cs="Times New Roman"/>
                <w:b/>
                <w:b/>
                <w:bCs/>
                <w:color w:val="000000" w:themeColor="text1"/>
              </w:rPr>
            </w:pPr>
            <w:r>
              <w:rPr>
                <w:rFonts w:cs="Times New Roman" w:ascii="Times New Roman" w:hAnsi="Times New Roman"/>
                <w:b/>
                <w:bCs/>
                <w:color w:val="000000" w:themeColor="text1"/>
              </w:rPr>
              <w:t>ΕΡΓΑΣΙΑΣ ΚΑΙ ΚΟΙΝΩΝΙΚΩΝ ΥΠΟΘΕΣΕΩΝ</w:t>
            </w:r>
          </w:p>
          <w:p>
            <w:pPr>
              <w:pStyle w:val="Normal"/>
              <w:spacing w:lineRule="auto" w:line="360" w:before="0" w:after="0"/>
              <w:jc w:val="both"/>
              <w:rPr>
                <w:rFonts w:ascii="Times New Roman" w:hAnsi="Times New Roman" w:cs="Times New Roman"/>
                <w:b/>
                <w:b/>
                <w:bCs/>
                <w:color w:val="000000" w:themeColor="text1"/>
              </w:rPr>
            </w:pPr>
            <w:r>
              <w:rPr>
                <w:rFonts w:cs="Times New Roman" w:ascii="Times New Roman" w:hAnsi="Times New Roman"/>
                <w:b/>
                <w:bCs/>
                <w:color w:val="000000" w:themeColor="text1"/>
              </w:rPr>
            </w:r>
          </w:p>
          <w:p>
            <w:pPr>
              <w:pStyle w:val="Normal"/>
              <w:spacing w:lineRule="auto" w:line="360" w:before="0" w:after="0"/>
              <w:jc w:val="center"/>
              <w:rPr>
                <w:rFonts w:ascii="Times New Roman" w:hAnsi="Times New Roman" w:cs="Times New Roman"/>
                <w:b/>
                <w:b/>
                <w:bCs/>
                <w:color w:val="000000" w:themeColor="text1"/>
              </w:rPr>
            </w:pPr>
            <w:r>
              <w:rPr>
                <w:rFonts w:cs="Times New Roman" w:ascii="Times New Roman" w:hAnsi="Times New Roman"/>
                <w:b/>
                <w:bCs/>
                <w:color w:val="000000" w:themeColor="text1"/>
              </w:rPr>
              <w:t>ΙΩΑΝΝΗΣ ΒΡΟΥΤΣΗΣ</w:t>
            </w:r>
          </w:p>
        </w:tc>
      </w:tr>
    </w:tbl>
    <w:p>
      <w:pPr>
        <w:pStyle w:val="Normal"/>
        <w:spacing w:lineRule="auto" w:line="360" w:before="0" w:after="200"/>
        <w:jc w:val="both"/>
        <w:rPr/>
      </w:pPr>
      <w:r>
        <w:rPr/>
      </w:r>
    </w:p>
    <w:sectPr>
      <w:footerReference w:type="default" r:id="rId4"/>
      <w:type w:val="nextPage"/>
      <w:pgSz w:w="11906" w:h="16838"/>
      <w:pgMar w:left="1134" w:right="1416" w:header="720" w:top="851" w:footer="709" w:bottom="127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01"/>
    <w:family w:val="swiss"/>
    <w:pitch w:val="default"/>
  </w:font>
  <w:font w:name="Times New Roman">
    <w:charset w:val="01"/>
    <w:family w:val="swiss"/>
    <w:pitch w:val="default"/>
  </w:font>
  <w:font w:name="Tahoma">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629079543"/>
    </w:sdtPr>
    <w:sdtContent>
      <w:p>
        <w:pPr>
          <w:pStyle w:val="Style20"/>
          <w:jc w:val="right"/>
          <w:rPr/>
        </w:pPr>
        <w:r>
          <w:rPr/>
          <w:fldChar w:fldCharType="begin"/>
        </w:r>
        <w:r>
          <w:rPr/>
          <w:instrText> PAGE </w:instrText>
        </w:r>
        <w:r>
          <w:rPr/>
          <w:fldChar w:fldCharType="separate"/>
        </w:r>
        <w:r>
          <w:rPr/>
          <w:t>5</w:t>
        </w:r>
        <w:r>
          <w:rPr/>
          <w:fldChar w:fldCharType="end"/>
        </w:r>
      </w:p>
    </w:sdtContent>
  </w:sdt>
  <w:p>
    <w:pPr>
      <w:pStyle w:val="Style2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4"/>
  <w:defaultTabStop w:val="72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8702f"/>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3">
    <w:name w:val="Heading 3"/>
    <w:basedOn w:val="Normal"/>
    <w:link w:val="3Char"/>
    <w:uiPriority w:val="9"/>
    <w:qFormat/>
    <w:rsid w:val="00cf4dd0"/>
    <w:pPr>
      <w:spacing w:lineRule="auto" w:line="240" w:beforeAutospacing="1" w:afterAutospacing="1"/>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qFormat/>
    <w:rPr/>
  </w:style>
  <w:style w:type="character" w:styleId="Char" w:customStyle="1">
    <w:name w:val="Κείμενο πλαισίου Char"/>
    <w:basedOn w:val="DefaultParagraphFont"/>
    <w:link w:val="a3"/>
    <w:uiPriority w:val="99"/>
    <w:semiHidden/>
    <w:qFormat/>
    <w:rsid w:val="003707e5"/>
    <w:rPr>
      <w:rFonts w:ascii="Tahoma" w:hAnsi="Tahoma" w:cs="Tahoma"/>
      <w:sz w:val="16"/>
      <w:szCs w:val="16"/>
    </w:rPr>
  </w:style>
  <w:style w:type="character" w:styleId="Char1" w:customStyle="1">
    <w:name w:val="Σώμα κειμένου Char"/>
    <w:basedOn w:val="DefaultParagraphFont"/>
    <w:link w:val="a4"/>
    <w:qFormat/>
    <w:rsid w:val="003707e5"/>
    <w:rPr>
      <w:rFonts w:ascii="Times New Roman" w:hAnsi="Times New Roman" w:eastAsia="Times New Roman" w:cs="Times New Roman"/>
      <w:sz w:val="24"/>
      <w:szCs w:val="24"/>
      <w:lang w:eastAsia="ar-SA"/>
    </w:rPr>
  </w:style>
  <w:style w:type="character" w:styleId="3Char" w:customStyle="1">
    <w:name w:val="Επικεφαλίδα 3 Char"/>
    <w:basedOn w:val="DefaultParagraphFont"/>
    <w:link w:val="3"/>
    <w:uiPriority w:val="9"/>
    <w:qFormat/>
    <w:rsid w:val="00cf4dd0"/>
    <w:rPr>
      <w:rFonts w:ascii="Times New Roman" w:hAnsi="Times New Roman" w:eastAsia="Times New Roman" w:cs="Times New Roman"/>
      <w:b/>
      <w:bCs/>
      <w:sz w:val="27"/>
      <w:szCs w:val="27"/>
      <w:lang w:eastAsia="el-GR"/>
    </w:rPr>
  </w:style>
  <w:style w:type="character" w:styleId="Strong">
    <w:name w:val="Strong"/>
    <w:basedOn w:val="DefaultParagraphFont"/>
    <w:uiPriority w:val="22"/>
    <w:qFormat/>
    <w:rsid w:val="00cf4dd0"/>
    <w:rPr>
      <w:b/>
      <w:bCs/>
    </w:rPr>
  </w:style>
  <w:style w:type="character" w:styleId="Char2" w:customStyle="1">
    <w:name w:val="Κεφαλίδα Char"/>
    <w:basedOn w:val="DefaultParagraphFont"/>
    <w:link w:val="a9"/>
    <w:semiHidden/>
    <w:qFormat/>
    <w:rsid w:val="00aa2a43"/>
    <w:rPr>
      <w:rFonts w:ascii="Tahoma" w:hAnsi="Tahoma" w:eastAsia="Times New Roman" w:cs="Times New Roman"/>
      <w:sz w:val="16"/>
      <w:szCs w:val="20"/>
      <w:lang w:val="en-US" w:eastAsia="el-GR"/>
    </w:rPr>
  </w:style>
  <w:style w:type="character" w:styleId="Char3" w:customStyle="1">
    <w:name w:val="Υποσέλιδο Char"/>
    <w:basedOn w:val="DefaultParagraphFont"/>
    <w:link w:val="aa"/>
    <w:uiPriority w:val="99"/>
    <w:qFormat/>
    <w:rsid w:val="00243547"/>
    <w:rPr/>
  </w:style>
  <w:style w:type="character" w:styleId="Annotationreference">
    <w:name w:val="annotation reference"/>
    <w:basedOn w:val="DefaultParagraphFont"/>
    <w:uiPriority w:val="99"/>
    <w:semiHidden/>
    <w:unhideWhenUsed/>
    <w:qFormat/>
    <w:rsid w:val="00242f34"/>
    <w:rPr>
      <w:sz w:val="16"/>
      <w:szCs w:val="16"/>
    </w:rPr>
  </w:style>
  <w:style w:type="character" w:styleId="Char4" w:customStyle="1">
    <w:name w:val="Κείμενο σχολίου Char"/>
    <w:basedOn w:val="DefaultParagraphFont"/>
    <w:link w:val="ac"/>
    <w:uiPriority w:val="99"/>
    <w:qFormat/>
    <w:rsid w:val="00242f34"/>
    <w:rPr>
      <w:sz w:val="20"/>
      <w:szCs w:val="20"/>
    </w:rPr>
  </w:style>
  <w:style w:type="character" w:styleId="Char5" w:customStyle="1">
    <w:name w:val="Θέμα σχολίου Char"/>
    <w:basedOn w:val="Char4"/>
    <w:link w:val="ad"/>
    <w:uiPriority w:val="99"/>
    <w:semiHidden/>
    <w:qFormat/>
    <w:rsid w:val="00242f34"/>
    <w:rPr>
      <w:b/>
      <w:bCs/>
      <w:sz w:val="20"/>
      <w:szCs w:val="20"/>
    </w:rPr>
  </w:style>
  <w:style w:type="character" w:styleId="Style13">
    <w:name w:val="Σύνδεσμος διαδικτύου"/>
    <w:basedOn w:val="DefaultParagraphFont"/>
    <w:uiPriority w:val="99"/>
    <w:semiHidden/>
    <w:unhideWhenUsed/>
    <w:rsid w:val="0084797c"/>
    <w:rPr>
      <w:color w:val="0000FF"/>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ascii="Times New Roman" w:hAnsi="Times New Roman" w:cs="Times New Roman"/>
      <w:bCs/>
    </w:rPr>
  </w:style>
  <w:style w:type="paragraph" w:styleId="Style14">
    <w:name w:val="Επικεφαλίδα"/>
    <w:basedOn w:val="Normal"/>
    <w:next w:val="Style15"/>
    <w:qFormat/>
    <w:pPr>
      <w:keepNext w:val="true"/>
      <w:spacing w:before="240" w:after="120"/>
    </w:pPr>
    <w:rPr>
      <w:rFonts w:ascii="Calibri" w:hAnsi="Calibri" w:eastAsia="Microsoft YaHei" w:cs="Arial"/>
      <w:sz w:val="28"/>
      <w:szCs w:val="28"/>
    </w:rPr>
  </w:style>
  <w:style w:type="paragraph" w:styleId="Style15">
    <w:name w:val="Body Text"/>
    <w:basedOn w:val="Normal"/>
    <w:link w:val="Char0"/>
    <w:rsid w:val="003707e5"/>
    <w:pPr>
      <w:suppressAutoHyphens w:val="true"/>
      <w:spacing w:lineRule="auto" w:line="240" w:before="0" w:after="0"/>
      <w:jc w:val="both"/>
    </w:pPr>
    <w:rPr>
      <w:rFonts w:ascii="Times New Roman" w:hAnsi="Times New Roman" w:eastAsia="Times New Roman" w:cs="Times New Roman"/>
      <w:sz w:val="24"/>
      <w:szCs w:val="24"/>
      <w:lang w:eastAsia="ar-SA"/>
    </w:rPr>
  </w:style>
  <w:style w:type="paragraph" w:styleId="Style16">
    <w:name w:val="List"/>
    <w:basedOn w:val="Style15"/>
    <w:pPr/>
    <w:rPr>
      <w:rFonts w:ascii="Calibri" w:hAnsi="Calibri" w:cs="Arial"/>
    </w:rPr>
  </w:style>
  <w:style w:type="paragraph" w:styleId="Style17">
    <w:name w:val="Caption"/>
    <w:basedOn w:val="Normal"/>
    <w:qFormat/>
    <w:pPr>
      <w:suppressLineNumbers/>
      <w:spacing w:before="120" w:after="120"/>
    </w:pPr>
    <w:rPr>
      <w:rFonts w:ascii="Calibri" w:hAnsi="Calibri" w:cs="Arial"/>
      <w:i/>
      <w:iCs/>
      <w:sz w:val="24"/>
      <w:szCs w:val="24"/>
    </w:rPr>
  </w:style>
  <w:style w:type="paragraph" w:styleId="Style18">
    <w:name w:val="Ευρετήριο"/>
    <w:basedOn w:val="Normal"/>
    <w:qFormat/>
    <w:pPr>
      <w:suppressLineNumbers/>
    </w:pPr>
    <w:rPr>
      <w:rFonts w:ascii="Calibri" w:hAnsi="Calibri" w:cs="Arial"/>
    </w:rPr>
  </w:style>
  <w:style w:type="paragraph" w:styleId="BalloonText">
    <w:name w:val="Balloon Text"/>
    <w:basedOn w:val="Normal"/>
    <w:link w:val="Char"/>
    <w:uiPriority w:val="99"/>
    <w:semiHidden/>
    <w:unhideWhenUsed/>
    <w:qFormat/>
    <w:rsid w:val="003707e5"/>
    <w:pPr>
      <w:spacing w:lineRule="auto" w:line="240" w:before="0" w:after="0"/>
    </w:pPr>
    <w:rPr>
      <w:rFonts w:ascii="Tahoma" w:hAnsi="Tahoma" w:cs="Tahoma"/>
      <w:sz w:val="16"/>
      <w:szCs w:val="16"/>
    </w:rPr>
  </w:style>
  <w:style w:type="paragraph" w:styleId="NoSpacing">
    <w:name w:val="No Spacing"/>
    <w:uiPriority w:val="1"/>
    <w:qFormat/>
    <w:rsid w:val="00d62069"/>
    <w:pPr>
      <w:widowControl/>
      <w:bidi w:val="0"/>
      <w:spacing w:lineRule="auto" w:line="240" w:before="0" w:after="0"/>
      <w:ind w:firstLine="720"/>
      <w:jc w:val="left"/>
    </w:pPr>
    <w:rPr>
      <w:rFonts w:ascii="Times New Roman" w:hAnsi="Times New Roman" w:eastAsia="Times New Roman" w:cs="Times New Roman"/>
      <w:color w:val="auto"/>
      <w:kern w:val="0"/>
      <w:sz w:val="24"/>
      <w:szCs w:val="24"/>
      <w:lang w:val="el-GR" w:eastAsia="el-GR" w:bidi="ar-SA"/>
    </w:rPr>
  </w:style>
  <w:style w:type="paragraph" w:styleId="ListParagraph">
    <w:name w:val="List Paragraph"/>
    <w:basedOn w:val="Normal"/>
    <w:uiPriority w:val="34"/>
    <w:qFormat/>
    <w:rsid w:val="00cd7079"/>
    <w:pPr>
      <w:spacing w:before="0" w:after="200"/>
      <w:ind w:left="720" w:hanging="0"/>
      <w:contextualSpacing/>
    </w:pPr>
    <w:rPr/>
  </w:style>
  <w:style w:type="paragraph" w:styleId="Style19">
    <w:name w:val="Header"/>
    <w:basedOn w:val="Normal"/>
    <w:link w:val="Char1"/>
    <w:semiHidden/>
    <w:rsid w:val="00aa2a43"/>
    <w:pPr>
      <w:tabs>
        <w:tab w:val="clear" w:pos="720"/>
        <w:tab w:val="right" w:pos="10080" w:leader="none"/>
      </w:tabs>
      <w:spacing w:lineRule="auto" w:line="240" w:before="0" w:after="0"/>
    </w:pPr>
    <w:rPr>
      <w:rFonts w:ascii="Tahoma" w:hAnsi="Tahoma" w:eastAsia="Times New Roman" w:cs="Times New Roman"/>
      <w:sz w:val="16"/>
      <w:szCs w:val="20"/>
      <w:lang w:val="en-US"/>
    </w:rPr>
  </w:style>
  <w:style w:type="paragraph" w:styleId="Style20">
    <w:name w:val="Footer"/>
    <w:basedOn w:val="Normal"/>
    <w:link w:val="Char2"/>
    <w:uiPriority w:val="99"/>
    <w:unhideWhenUsed/>
    <w:rsid w:val="00243547"/>
    <w:pPr>
      <w:tabs>
        <w:tab w:val="clear" w:pos="720"/>
        <w:tab w:val="center" w:pos="4153" w:leader="none"/>
        <w:tab w:val="right" w:pos="8306" w:leader="none"/>
      </w:tabs>
      <w:spacing w:lineRule="auto" w:line="240" w:before="0" w:after="0"/>
    </w:pPr>
    <w:rPr/>
  </w:style>
  <w:style w:type="paragraph" w:styleId="Annotationtext">
    <w:name w:val="annotation text"/>
    <w:basedOn w:val="Normal"/>
    <w:link w:val="Char3"/>
    <w:uiPriority w:val="99"/>
    <w:unhideWhenUsed/>
    <w:qFormat/>
    <w:rsid w:val="00242f34"/>
    <w:pPr>
      <w:spacing w:lineRule="auto" w:line="240"/>
    </w:pPr>
    <w:rPr>
      <w:sz w:val="20"/>
      <w:szCs w:val="20"/>
    </w:rPr>
  </w:style>
  <w:style w:type="paragraph" w:styleId="Annotationsubject">
    <w:name w:val="annotation subject"/>
    <w:basedOn w:val="Annotationtext"/>
    <w:next w:val="Annotationtext"/>
    <w:link w:val="Char4"/>
    <w:uiPriority w:val="99"/>
    <w:semiHidden/>
    <w:unhideWhenUsed/>
    <w:qFormat/>
    <w:rsid w:val="00242f34"/>
    <w:pPr/>
    <w:rPr>
      <w:b/>
      <w:bCs/>
    </w:rPr>
  </w:style>
  <w:style w:type="paragraph" w:styleId="Western" w:customStyle="1">
    <w:name w:val="western"/>
    <w:basedOn w:val="Normal"/>
    <w:qFormat/>
    <w:rsid w:val="00ee5a99"/>
    <w:pPr>
      <w:suppressAutoHyphens w:val="true"/>
      <w:spacing w:lineRule="auto" w:line="240" w:before="280" w:after="280"/>
    </w:pPr>
    <w:rPr>
      <w:rFonts w:ascii="Times New Roman" w:hAnsi="Times New Roman" w:eastAsia="Times New Roman" w:cs="Times New Roman"/>
      <w:sz w:val="24"/>
      <w:szCs w:val="24"/>
      <w:lang w:eastAsia="zh-CN"/>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7">
    <w:name w:val="Table Grid"/>
    <w:basedOn w:val="a1"/>
    <w:uiPriority w:val="59"/>
    <w:rsid w:val="00cf0b22"/>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forin.gr/laws/law/3619/pd-142-2017"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AF8B5-1805-4F19-8468-D997DC6EC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LibreOffice/6.2.0.3$Windows_X86_64 LibreOffice_project/98c6a8a1c6c7b144ce3cc729e34964b47ce25d62</Application>
  <Pages>2</Pages>
  <Words>1271</Words>
  <Characters>7989</Characters>
  <CharactersWithSpaces>9374</CharactersWithSpaces>
  <Paragraphs>65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2020-04-29T10:57:00Z</dcterms:created>
  <dc:creator>user</dc:creator>
  <dc:description/>
  <dc:language>el-GR</dc:language>
  <cp:lastModifiedBy>grtypoy</cp:lastModifiedBy>
  <cp:lastPrinted>2020-04-29T07:56:00Z</cp:lastPrinted>
  <dcterms:modified xsi:type="dcterms:W3CDTF">2020-04-29T10:57:00Z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